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54977" w14:textId="77777777" w:rsidR="002A4D9A" w:rsidRDefault="002A4D9A" w:rsidP="002A4D9A">
      <w:pPr>
        <w:pBdr>
          <w:bottom w:val="single" w:sz="12" w:space="1" w:color="auto"/>
        </w:pBdr>
        <w:spacing w:line="360" w:lineRule="auto"/>
        <w:jc w:val="both"/>
        <w:rPr>
          <w:rFonts w:cstheme="minorHAnsi"/>
          <w:sz w:val="24"/>
          <w:szCs w:val="24"/>
          <w:rtl/>
        </w:rPr>
      </w:pPr>
    </w:p>
    <w:p w14:paraId="1E9C0604" w14:textId="77777777" w:rsidR="002A4D9A" w:rsidRDefault="002A4D9A" w:rsidP="002A4D9A">
      <w:pPr>
        <w:spacing w:line="360" w:lineRule="auto"/>
        <w:jc w:val="both"/>
        <w:rPr>
          <w:rFonts w:cstheme="minorHAnsi"/>
          <w:sz w:val="24"/>
          <w:szCs w:val="24"/>
          <w:rtl/>
        </w:rPr>
      </w:pPr>
    </w:p>
    <w:p w14:paraId="0A776380" w14:textId="31A021B7" w:rsidR="0056053E" w:rsidRDefault="0056053E" w:rsidP="002A4D9A">
      <w:pPr>
        <w:spacing w:line="360" w:lineRule="auto"/>
        <w:jc w:val="both"/>
        <w:rPr>
          <w:rFonts w:cstheme="minorHAnsi"/>
          <w:sz w:val="24"/>
          <w:szCs w:val="24"/>
          <w:rtl/>
        </w:rPr>
      </w:pPr>
      <w:r w:rsidRPr="0056053E">
        <w:rPr>
          <w:rFonts w:cstheme="minorHAnsi"/>
          <w:sz w:val="24"/>
          <w:szCs w:val="24"/>
          <w:rtl/>
        </w:rPr>
        <w:t>בשנים האחרונות מתנהל דיון ציבורי בשאלה האם נכון לאפשר לאסירים ללמוד לימודים אקדמיים בזמן ריצוי עונשם. יש הסבורים כי מדובר בזכות בסיסית המקדמת שיקום, בעוד אחרים טוענים כי אין זה ראוי שאדם שהורשע בפלילים ייהנה מהטבות שאזרחים רבים מתקשים להשיג. סוגיה זו מעלה שאלות ערכיות, חינוכיות וחברתיות חשובות</w:t>
      </w:r>
      <w:r w:rsidRPr="0056053E">
        <w:rPr>
          <w:rFonts w:cstheme="minorHAnsi"/>
          <w:sz w:val="24"/>
          <w:szCs w:val="24"/>
        </w:rPr>
        <w:t>.</w:t>
      </w:r>
    </w:p>
    <w:p w14:paraId="189D71FA" w14:textId="77777777" w:rsidR="0056053E" w:rsidRPr="0056053E" w:rsidRDefault="0056053E" w:rsidP="002A4D9A">
      <w:pPr>
        <w:pBdr>
          <w:bottom w:val="single" w:sz="12" w:space="1" w:color="auto"/>
        </w:pBdr>
        <w:spacing w:line="360" w:lineRule="auto"/>
        <w:jc w:val="both"/>
        <w:rPr>
          <w:rFonts w:cstheme="minorHAnsi"/>
          <w:sz w:val="24"/>
          <w:szCs w:val="24"/>
        </w:rPr>
      </w:pPr>
    </w:p>
    <w:p w14:paraId="55B3ED29" w14:textId="77777777" w:rsidR="002A4D9A" w:rsidRDefault="002A4D9A" w:rsidP="002A4D9A">
      <w:pPr>
        <w:spacing w:line="360" w:lineRule="auto"/>
        <w:jc w:val="both"/>
        <w:rPr>
          <w:rFonts w:cstheme="minorHAnsi"/>
          <w:b/>
          <w:bCs/>
          <w:sz w:val="24"/>
          <w:szCs w:val="24"/>
          <w:rtl/>
        </w:rPr>
      </w:pPr>
    </w:p>
    <w:p w14:paraId="412202CF" w14:textId="77777777" w:rsidR="002A4D9A" w:rsidRPr="0056053E" w:rsidRDefault="002A4D9A" w:rsidP="002A4D9A">
      <w:pPr>
        <w:spacing w:line="360" w:lineRule="auto"/>
        <w:jc w:val="both"/>
        <w:rPr>
          <w:rFonts w:cstheme="minorHAnsi"/>
          <w:b/>
          <w:bCs/>
          <w:sz w:val="24"/>
          <w:szCs w:val="24"/>
        </w:rPr>
      </w:pPr>
    </w:p>
    <w:p w14:paraId="1002F41D" w14:textId="63B4216B" w:rsidR="0056053E" w:rsidRPr="0056053E" w:rsidRDefault="0056053E" w:rsidP="002A4D9A">
      <w:pPr>
        <w:spacing w:line="360" w:lineRule="auto"/>
        <w:jc w:val="both"/>
        <w:rPr>
          <w:rFonts w:cstheme="minorHAnsi"/>
          <w:sz w:val="24"/>
          <w:szCs w:val="24"/>
        </w:rPr>
      </w:pPr>
      <w:r w:rsidRPr="0056053E">
        <w:rPr>
          <w:rFonts w:cstheme="minorHAnsi"/>
          <w:sz w:val="24"/>
          <w:szCs w:val="24"/>
          <w:rtl/>
        </w:rPr>
        <w:t xml:space="preserve">__________, </w:t>
      </w:r>
      <w:r w:rsidRPr="0056053E">
        <w:rPr>
          <w:rFonts w:cstheme="minorHAnsi"/>
          <w:sz w:val="24"/>
          <w:szCs w:val="24"/>
          <w:rtl/>
        </w:rPr>
        <w:t xml:space="preserve"> יש לאפשר לאסירים ללמוד לימודים אקדמיים במהלך המאסר, משום שהשכלה היא אחד הכלים היעילים ביותר לצמצום עבריינות חוזרת ולהשתלבות בחברה לאחר השחרור</w:t>
      </w:r>
      <w:r w:rsidRPr="0056053E">
        <w:rPr>
          <w:rFonts w:cstheme="minorHAnsi"/>
          <w:sz w:val="24"/>
          <w:szCs w:val="24"/>
        </w:rPr>
        <w:t>.</w:t>
      </w:r>
    </w:p>
    <w:p w14:paraId="4733D577" w14:textId="1072DF7D" w:rsidR="0056053E" w:rsidRDefault="0056053E" w:rsidP="002A4D9A">
      <w:pPr>
        <w:pBdr>
          <w:bottom w:val="single" w:sz="12" w:space="1" w:color="auto"/>
        </w:pBdr>
        <w:spacing w:line="360" w:lineRule="auto"/>
        <w:jc w:val="both"/>
        <w:rPr>
          <w:rFonts w:cstheme="minorHAnsi"/>
          <w:sz w:val="24"/>
          <w:szCs w:val="24"/>
          <w:rtl/>
        </w:rPr>
      </w:pPr>
    </w:p>
    <w:p w14:paraId="22FCF803" w14:textId="77777777" w:rsidR="0056053E" w:rsidRPr="0056053E" w:rsidRDefault="0056053E" w:rsidP="002A4D9A">
      <w:pPr>
        <w:spacing w:line="360" w:lineRule="auto"/>
        <w:jc w:val="both"/>
        <w:rPr>
          <w:rFonts w:cstheme="minorHAnsi"/>
          <w:sz w:val="24"/>
          <w:szCs w:val="24"/>
        </w:rPr>
      </w:pPr>
    </w:p>
    <w:p w14:paraId="1A16D4BB" w14:textId="45B2EECF" w:rsidR="0056053E" w:rsidRPr="0056053E" w:rsidRDefault="0056053E" w:rsidP="002A4D9A">
      <w:pPr>
        <w:spacing w:line="360" w:lineRule="auto"/>
        <w:jc w:val="both"/>
        <w:rPr>
          <w:rFonts w:cstheme="minorHAnsi"/>
          <w:sz w:val="24"/>
          <w:szCs w:val="24"/>
        </w:rPr>
      </w:pPr>
      <w:r w:rsidRPr="0056053E">
        <w:rPr>
          <w:rFonts w:cstheme="minorHAnsi"/>
          <w:sz w:val="24"/>
          <w:szCs w:val="24"/>
          <w:rtl/>
        </w:rPr>
        <w:t xml:space="preserve">__________, </w:t>
      </w:r>
      <w:r w:rsidRPr="0056053E">
        <w:rPr>
          <w:rFonts w:cstheme="minorHAnsi"/>
          <w:sz w:val="24"/>
          <w:szCs w:val="24"/>
        </w:rPr>
        <w:t xml:space="preserve"> </w:t>
      </w:r>
      <w:r w:rsidRPr="0056053E">
        <w:rPr>
          <w:rFonts w:cstheme="minorHAnsi"/>
          <w:sz w:val="24"/>
          <w:szCs w:val="24"/>
          <w:rtl/>
        </w:rPr>
        <w:t xml:space="preserve">מחקרים רבים בארץ ובעולם מצביעים על כך שככל שרמת ההשכלה של אדם גבוהה יותר, כך קטן הסיכוי שישוב לבצע עבירות לאחר שחרורו. הלימודים מעניקים ידע, מיומנויות, תחושת מסוגלות ומטרה, ומאפשרים לאדם לבנות לעצמו עתיד </w:t>
      </w:r>
      <w:r w:rsidRPr="0056053E">
        <w:rPr>
          <w:rFonts w:cstheme="minorHAnsi"/>
          <w:sz w:val="24"/>
          <w:szCs w:val="24"/>
          <w:rtl/>
        </w:rPr>
        <w:t>חדש ושונה,</w:t>
      </w:r>
      <w:r w:rsidRPr="0056053E">
        <w:rPr>
          <w:rFonts w:cstheme="minorHAnsi"/>
          <w:sz w:val="24"/>
          <w:szCs w:val="24"/>
          <w:rtl/>
        </w:rPr>
        <w:t xml:space="preserve"> במקום לשוב לדפוסי ההתנהגות הישנים</w:t>
      </w:r>
      <w:r w:rsidRPr="0056053E">
        <w:rPr>
          <w:rFonts w:cstheme="minorHAnsi"/>
          <w:sz w:val="24"/>
          <w:szCs w:val="24"/>
        </w:rPr>
        <w:t>.</w:t>
      </w:r>
    </w:p>
    <w:p w14:paraId="09355B25" w14:textId="147DB9CA" w:rsidR="0056053E" w:rsidRDefault="0056053E" w:rsidP="002A4D9A">
      <w:pPr>
        <w:pBdr>
          <w:bottom w:val="single" w:sz="12" w:space="1" w:color="auto"/>
        </w:pBdr>
        <w:spacing w:line="360" w:lineRule="auto"/>
        <w:jc w:val="both"/>
        <w:rPr>
          <w:rFonts w:cstheme="minorHAnsi"/>
          <w:sz w:val="24"/>
          <w:szCs w:val="24"/>
          <w:rtl/>
        </w:rPr>
      </w:pPr>
    </w:p>
    <w:p w14:paraId="3360DAF2" w14:textId="77777777" w:rsidR="002A4D9A" w:rsidRPr="0056053E" w:rsidRDefault="002A4D9A" w:rsidP="002A4D9A">
      <w:pPr>
        <w:spacing w:line="360" w:lineRule="auto"/>
        <w:jc w:val="both"/>
        <w:rPr>
          <w:rFonts w:cstheme="minorHAnsi" w:hint="cs"/>
          <w:sz w:val="24"/>
          <w:szCs w:val="24"/>
        </w:rPr>
      </w:pPr>
    </w:p>
    <w:p w14:paraId="2A18020B" w14:textId="5A61E737" w:rsidR="0056053E" w:rsidRPr="0056053E" w:rsidRDefault="0056053E" w:rsidP="002A4D9A">
      <w:pPr>
        <w:spacing w:line="360" w:lineRule="auto"/>
        <w:jc w:val="both"/>
        <w:rPr>
          <w:rFonts w:cstheme="minorHAnsi"/>
          <w:sz w:val="24"/>
          <w:szCs w:val="24"/>
        </w:rPr>
      </w:pPr>
      <w:r w:rsidRPr="0056053E">
        <w:rPr>
          <w:rFonts w:cstheme="minorHAnsi"/>
          <w:sz w:val="24"/>
          <w:szCs w:val="24"/>
        </w:rPr>
        <w:t>__________</w:t>
      </w:r>
      <w:r w:rsidRPr="0056053E">
        <w:rPr>
          <w:rFonts w:cstheme="minorHAnsi"/>
          <w:sz w:val="24"/>
          <w:szCs w:val="24"/>
          <w:rtl/>
        </w:rPr>
        <w:t xml:space="preserve">, </w:t>
      </w:r>
      <w:r w:rsidRPr="0056053E">
        <w:rPr>
          <w:rFonts w:cstheme="minorHAnsi"/>
          <w:sz w:val="24"/>
          <w:szCs w:val="24"/>
          <w:rtl/>
        </w:rPr>
        <w:t>עצם ההתמדה במסגרת לימודית מחייבת אחריות אישית, עמידה בלוחות זמנים, קריאה, כתיבה והתמודדות עם אתגרים. אלו הן מיומנויות החשובות להשתלבות בעולם העבודה ובחיים האזרחיים. כאשר אדם יוצא מן הכלא עם מקצוע או תואר, גדל הסיכוי שימצא עבודה חוקית ויתפרנס בכבוד</w:t>
      </w:r>
      <w:r w:rsidRPr="0056053E">
        <w:rPr>
          <w:rFonts w:cstheme="minorHAnsi"/>
          <w:sz w:val="24"/>
          <w:szCs w:val="24"/>
        </w:rPr>
        <w:t>.</w:t>
      </w:r>
    </w:p>
    <w:p w14:paraId="7CFA9BCD" w14:textId="77777777" w:rsidR="002A4D9A" w:rsidRDefault="002A4D9A" w:rsidP="002A4D9A">
      <w:pPr>
        <w:pBdr>
          <w:bottom w:val="single" w:sz="12" w:space="1" w:color="auto"/>
        </w:pBdr>
        <w:spacing w:line="360" w:lineRule="auto"/>
        <w:jc w:val="both"/>
        <w:rPr>
          <w:rFonts w:cstheme="minorHAnsi"/>
          <w:sz w:val="24"/>
          <w:szCs w:val="24"/>
          <w:rtl/>
        </w:rPr>
      </w:pPr>
    </w:p>
    <w:p w14:paraId="5925A000" w14:textId="77777777" w:rsidR="002A4D9A" w:rsidRDefault="002A4D9A" w:rsidP="002A4D9A">
      <w:pPr>
        <w:spacing w:line="360" w:lineRule="auto"/>
        <w:jc w:val="both"/>
        <w:rPr>
          <w:rFonts w:cstheme="minorHAnsi"/>
          <w:sz w:val="24"/>
          <w:szCs w:val="24"/>
          <w:rtl/>
        </w:rPr>
      </w:pPr>
    </w:p>
    <w:p w14:paraId="4BA1E7B2" w14:textId="77777777" w:rsidR="0056053E" w:rsidRPr="0056053E" w:rsidRDefault="0056053E" w:rsidP="002A4D9A">
      <w:pPr>
        <w:spacing w:line="360" w:lineRule="auto"/>
        <w:jc w:val="both"/>
        <w:rPr>
          <w:rFonts w:cstheme="minorHAnsi"/>
          <w:sz w:val="24"/>
          <w:szCs w:val="24"/>
          <w:rtl/>
        </w:rPr>
      </w:pPr>
    </w:p>
    <w:p w14:paraId="1AE2B225" w14:textId="77777777" w:rsidR="002A4D9A" w:rsidRDefault="002A4D9A" w:rsidP="002A4D9A">
      <w:pPr>
        <w:pBdr>
          <w:bottom w:val="single" w:sz="12" w:space="1" w:color="auto"/>
        </w:pBdr>
        <w:spacing w:line="360" w:lineRule="auto"/>
        <w:jc w:val="both"/>
        <w:rPr>
          <w:rFonts w:cstheme="minorHAnsi"/>
          <w:sz w:val="24"/>
          <w:szCs w:val="24"/>
          <w:rtl/>
        </w:rPr>
      </w:pPr>
    </w:p>
    <w:p w14:paraId="239B17ED" w14:textId="77777777" w:rsidR="002A4D9A" w:rsidRDefault="002A4D9A" w:rsidP="002A4D9A">
      <w:pPr>
        <w:spacing w:line="360" w:lineRule="auto"/>
        <w:jc w:val="both"/>
        <w:rPr>
          <w:rFonts w:cstheme="minorHAnsi"/>
          <w:sz w:val="24"/>
          <w:szCs w:val="24"/>
          <w:rtl/>
        </w:rPr>
      </w:pPr>
    </w:p>
    <w:p w14:paraId="1936EE43" w14:textId="6B5F2EB8" w:rsidR="00C35A06" w:rsidRDefault="0056053E" w:rsidP="00C35A06">
      <w:pPr>
        <w:pBdr>
          <w:bottom w:val="single" w:sz="12" w:space="1" w:color="auto"/>
        </w:pBdr>
        <w:spacing w:line="360" w:lineRule="auto"/>
        <w:jc w:val="both"/>
        <w:rPr>
          <w:rFonts w:cstheme="minorHAnsi"/>
          <w:sz w:val="24"/>
          <w:szCs w:val="24"/>
          <w:rtl/>
        </w:rPr>
      </w:pPr>
      <w:r w:rsidRPr="0056053E">
        <w:rPr>
          <w:rFonts w:cstheme="minorHAnsi"/>
          <w:sz w:val="24"/>
          <w:szCs w:val="24"/>
          <w:rtl/>
        </w:rPr>
        <w:t>__________</w:t>
      </w:r>
      <w:r w:rsidRPr="0056053E">
        <w:rPr>
          <w:rFonts w:cstheme="minorHAnsi"/>
          <w:sz w:val="24"/>
          <w:szCs w:val="24"/>
          <w:rtl/>
        </w:rPr>
        <w:t xml:space="preserve"> כי הענקת אפשרות ללימודים אקדמיים לאסירים פוגעת בתחושת הצדק. ל</w:t>
      </w:r>
      <w:r w:rsidRPr="0056053E">
        <w:rPr>
          <w:rFonts w:cstheme="minorHAnsi"/>
          <w:sz w:val="24"/>
          <w:szCs w:val="24"/>
          <w:rtl/>
        </w:rPr>
        <w:t>דבריהם</w:t>
      </w:r>
      <w:r w:rsidRPr="0056053E">
        <w:rPr>
          <w:rFonts w:cstheme="minorHAnsi"/>
          <w:sz w:val="24"/>
          <w:szCs w:val="24"/>
          <w:rtl/>
        </w:rPr>
        <w:t>, אזרחים רבים עובדים קשה כדי לממן את לימודיהם, ואילו אדם שביצע עבירה אינו ראוי לקבל תנאים טובים יותר בזמן שהוא מרצה את עונשו</w:t>
      </w:r>
      <w:r w:rsidR="00C35A06">
        <w:rPr>
          <w:rFonts w:cstheme="minorHAnsi" w:hint="cs"/>
          <w:sz w:val="24"/>
          <w:szCs w:val="24"/>
          <w:rtl/>
        </w:rPr>
        <w:t>.</w:t>
      </w:r>
    </w:p>
    <w:p w14:paraId="6010688E" w14:textId="77777777" w:rsidR="00C35A06" w:rsidRDefault="00C35A06" w:rsidP="00C35A06">
      <w:pPr>
        <w:pBdr>
          <w:bottom w:val="single" w:sz="12" w:space="1" w:color="auto"/>
        </w:pBdr>
        <w:spacing w:line="360" w:lineRule="auto"/>
        <w:jc w:val="both"/>
        <w:rPr>
          <w:rFonts w:cstheme="minorHAnsi"/>
          <w:sz w:val="24"/>
          <w:szCs w:val="24"/>
        </w:rPr>
      </w:pPr>
    </w:p>
    <w:p w14:paraId="538E425D" w14:textId="77777777" w:rsidR="0056053E" w:rsidRPr="0056053E" w:rsidRDefault="0056053E" w:rsidP="002A4D9A">
      <w:pPr>
        <w:spacing w:line="360" w:lineRule="auto"/>
        <w:jc w:val="both"/>
        <w:rPr>
          <w:rFonts w:cstheme="minorHAnsi" w:hint="cs"/>
          <w:sz w:val="24"/>
          <w:szCs w:val="24"/>
          <w:rtl/>
        </w:rPr>
      </w:pPr>
    </w:p>
    <w:p w14:paraId="6D9788D3" w14:textId="7CE441CA" w:rsidR="0056053E" w:rsidRDefault="0056053E" w:rsidP="002A4D9A">
      <w:pPr>
        <w:pBdr>
          <w:bottom w:val="single" w:sz="12" w:space="1" w:color="auto"/>
        </w:pBdr>
        <w:spacing w:line="360" w:lineRule="auto"/>
        <w:jc w:val="both"/>
        <w:rPr>
          <w:rFonts w:cstheme="minorHAnsi"/>
          <w:sz w:val="24"/>
          <w:szCs w:val="24"/>
          <w:rtl/>
        </w:rPr>
      </w:pPr>
      <w:r w:rsidRPr="0056053E">
        <w:rPr>
          <w:rFonts w:cstheme="minorHAnsi"/>
          <w:sz w:val="24"/>
          <w:szCs w:val="24"/>
        </w:rPr>
        <w:t>__________</w:t>
      </w:r>
      <w:r w:rsidRPr="0056053E">
        <w:rPr>
          <w:rFonts w:cstheme="minorHAnsi"/>
          <w:sz w:val="24"/>
          <w:szCs w:val="24"/>
          <w:rtl/>
        </w:rPr>
        <w:t xml:space="preserve">, </w:t>
      </w:r>
      <w:r w:rsidRPr="0056053E">
        <w:rPr>
          <w:rFonts w:cstheme="minorHAnsi"/>
          <w:sz w:val="24"/>
          <w:szCs w:val="24"/>
          <w:rtl/>
        </w:rPr>
        <w:t>חשוב לזכור שמטרת מערכת הכליאה אינה רק להעניש אלא גם לשקם. אם ההשכלה מסייעת להפחית את הסיכוי לביצוע עבירות נוספות, הרי שגם הציבור כולו מרוויח מכך. בסופו של דבר, עדיף להשקיע בשיקום מוצלח מאשר להתמודד בעתיד עם קורבנות נוספים, הליכים משפטיים ועלויות כליאה חוזרות</w:t>
      </w:r>
      <w:r w:rsidRPr="0056053E">
        <w:rPr>
          <w:rFonts w:cstheme="minorHAnsi"/>
          <w:sz w:val="24"/>
          <w:szCs w:val="24"/>
        </w:rPr>
        <w:t>.</w:t>
      </w:r>
    </w:p>
    <w:p w14:paraId="4411511A" w14:textId="77777777" w:rsidR="00C35A06" w:rsidRPr="0056053E" w:rsidRDefault="00C35A06" w:rsidP="002A4D9A">
      <w:pPr>
        <w:pBdr>
          <w:bottom w:val="single" w:sz="12" w:space="1" w:color="auto"/>
        </w:pBdr>
        <w:spacing w:line="360" w:lineRule="auto"/>
        <w:jc w:val="both"/>
        <w:rPr>
          <w:rFonts w:cstheme="minorHAnsi" w:hint="cs"/>
          <w:sz w:val="24"/>
          <w:szCs w:val="24"/>
          <w:rtl/>
        </w:rPr>
      </w:pPr>
    </w:p>
    <w:p w14:paraId="084A4686" w14:textId="77777777" w:rsidR="00C35A06" w:rsidRPr="0056053E" w:rsidRDefault="00C35A06" w:rsidP="002A4D9A">
      <w:pPr>
        <w:spacing w:line="360" w:lineRule="auto"/>
        <w:jc w:val="both"/>
        <w:rPr>
          <w:rFonts w:cstheme="minorHAnsi"/>
          <w:sz w:val="24"/>
          <w:szCs w:val="24"/>
          <w:rtl/>
        </w:rPr>
      </w:pPr>
    </w:p>
    <w:p w14:paraId="1BF00D44" w14:textId="18E18DE9" w:rsidR="0056053E" w:rsidRPr="0056053E" w:rsidRDefault="0056053E" w:rsidP="002A4D9A">
      <w:pPr>
        <w:spacing w:line="360" w:lineRule="auto"/>
        <w:jc w:val="both"/>
        <w:rPr>
          <w:rFonts w:cstheme="minorHAnsi"/>
          <w:sz w:val="24"/>
          <w:szCs w:val="24"/>
        </w:rPr>
      </w:pPr>
      <w:r w:rsidRPr="0056053E">
        <w:rPr>
          <w:rFonts w:cstheme="minorHAnsi"/>
          <w:sz w:val="24"/>
          <w:szCs w:val="24"/>
          <w:rtl/>
        </w:rPr>
        <w:t xml:space="preserve">__________, </w:t>
      </w:r>
      <w:r w:rsidRPr="0056053E">
        <w:rPr>
          <w:rFonts w:cstheme="minorHAnsi"/>
          <w:sz w:val="24"/>
          <w:szCs w:val="24"/>
          <w:rtl/>
        </w:rPr>
        <w:t>לימודים אקדמיים בכלא אינם פרס אלא השקעה בעתידו של האדם ובביטחונה של החברה. הענקת הזדמנות אמיתית לרכוש השכלה עשויה לשנות מסלול חיים שלם ולהפוך אדם שהיה עבריין לאזרח יצרני ותורם. לכן, ראוי להמשיך ולאפשר לאסירים המתאימים להשתלב במסגרות לימוד משמעותיות</w:t>
      </w:r>
      <w:r w:rsidRPr="0056053E">
        <w:rPr>
          <w:rFonts w:cstheme="minorHAnsi"/>
          <w:sz w:val="24"/>
          <w:szCs w:val="24"/>
        </w:rPr>
        <w:t>.</w:t>
      </w:r>
    </w:p>
    <w:p w14:paraId="36E7C182" w14:textId="447E480C" w:rsidR="0056053E" w:rsidRDefault="0056053E" w:rsidP="0056053E">
      <w:pPr>
        <w:pBdr>
          <w:bottom w:val="single" w:sz="12" w:space="1" w:color="auto"/>
        </w:pBdr>
        <w:rPr>
          <w:rtl/>
        </w:rPr>
      </w:pPr>
    </w:p>
    <w:p w14:paraId="5DB9C001" w14:textId="77777777" w:rsidR="00C35A06" w:rsidRDefault="00C35A06" w:rsidP="0056053E">
      <w:pPr>
        <w:pBdr>
          <w:bottom w:val="single" w:sz="12" w:space="1" w:color="auto"/>
        </w:pBdr>
        <w:rPr>
          <w:rtl/>
        </w:rPr>
      </w:pPr>
    </w:p>
    <w:p w14:paraId="01562CA2" w14:textId="77777777" w:rsidR="0056053E" w:rsidRPr="0056053E" w:rsidRDefault="0056053E" w:rsidP="0056053E">
      <w:pPr>
        <w:rPr>
          <w:rFonts w:cstheme="minorHAnsi"/>
          <w:sz w:val="24"/>
          <w:szCs w:val="24"/>
        </w:rPr>
      </w:pPr>
    </w:p>
    <w:p w14:paraId="73F778BB" w14:textId="0C4F8748" w:rsidR="0056053E" w:rsidRPr="0056053E" w:rsidRDefault="00C35A06" w:rsidP="0056053E">
      <w:pPr>
        <w:rPr>
          <w:rFonts w:cstheme="minorHAnsi"/>
          <w:b/>
          <w:bCs/>
          <w:sz w:val="24"/>
          <w:szCs w:val="24"/>
        </w:rPr>
      </w:pPr>
      <w:r>
        <w:rPr>
          <w:rFonts w:cstheme="minorHAnsi" w:hint="cs"/>
          <w:b/>
          <w:bCs/>
          <w:sz w:val="24"/>
          <w:szCs w:val="24"/>
          <w:rtl/>
        </w:rPr>
        <w:t>מילות הקישור להקרנה במצגת:</w:t>
      </w:r>
    </w:p>
    <w:p w14:paraId="77DF9C56" w14:textId="77777777" w:rsidR="0056053E" w:rsidRPr="0056053E" w:rsidRDefault="0056053E" w:rsidP="0056053E">
      <w:pPr>
        <w:numPr>
          <w:ilvl w:val="0"/>
          <w:numId w:val="1"/>
        </w:numPr>
        <w:rPr>
          <w:rFonts w:cstheme="minorHAnsi"/>
          <w:sz w:val="24"/>
          <w:szCs w:val="24"/>
        </w:rPr>
      </w:pPr>
      <w:r w:rsidRPr="0056053E">
        <w:rPr>
          <w:rFonts w:cstheme="minorHAnsi"/>
          <w:sz w:val="24"/>
          <w:szCs w:val="24"/>
          <w:rtl/>
        </w:rPr>
        <w:t xml:space="preserve">לדעתי </w:t>
      </w:r>
    </w:p>
    <w:p w14:paraId="587D7990" w14:textId="77777777" w:rsidR="0056053E" w:rsidRPr="0056053E" w:rsidRDefault="0056053E" w:rsidP="0056053E">
      <w:pPr>
        <w:numPr>
          <w:ilvl w:val="0"/>
          <w:numId w:val="1"/>
        </w:numPr>
        <w:rPr>
          <w:rFonts w:cstheme="minorHAnsi"/>
          <w:sz w:val="24"/>
          <w:szCs w:val="24"/>
        </w:rPr>
      </w:pPr>
      <w:r w:rsidRPr="0056053E">
        <w:rPr>
          <w:rFonts w:cstheme="minorHAnsi"/>
          <w:sz w:val="24"/>
          <w:szCs w:val="24"/>
          <w:rtl/>
        </w:rPr>
        <w:t xml:space="preserve">ראשית </w:t>
      </w:r>
    </w:p>
    <w:p w14:paraId="60AD7FEC" w14:textId="77777777" w:rsidR="0056053E" w:rsidRPr="0056053E" w:rsidRDefault="0056053E" w:rsidP="0056053E">
      <w:pPr>
        <w:numPr>
          <w:ilvl w:val="0"/>
          <w:numId w:val="1"/>
        </w:numPr>
        <w:rPr>
          <w:rFonts w:cstheme="minorHAnsi"/>
          <w:sz w:val="24"/>
          <w:szCs w:val="24"/>
        </w:rPr>
      </w:pPr>
      <w:r w:rsidRPr="0056053E">
        <w:rPr>
          <w:rFonts w:cstheme="minorHAnsi"/>
          <w:sz w:val="24"/>
          <w:szCs w:val="24"/>
          <w:rtl/>
        </w:rPr>
        <w:t xml:space="preserve">נוסף על כך </w:t>
      </w:r>
    </w:p>
    <w:p w14:paraId="7B116F2D" w14:textId="7850F02D" w:rsidR="0056053E" w:rsidRPr="0056053E" w:rsidRDefault="0056053E" w:rsidP="0056053E">
      <w:pPr>
        <w:numPr>
          <w:ilvl w:val="0"/>
          <w:numId w:val="1"/>
        </w:numPr>
        <w:rPr>
          <w:rFonts w:cstheme="minorHAnsi"/>
          <w:sz w:val="24"/>
          <w:szCs w:val="24"/>
        </w:rPr>
      </w:pPr>
      <w:r w:rsidRPr="0056053E">
        <w:rPr>
          <w:rFonts w:cstheme="minorHAnsi"/>
          <w:sz w:val="24"/>
          <w:szCs w:val="24"/>
          <w:rtl/>
        </w:rPr>
        <w:t>יש הטוענים</w:t>
      </w:r>
    </w:p>
    <w:p w14:paraId="66E30782" w14:textId="77777777" w:rsidR="0056053E" w:rsidRPr="0056053E" w:rsidRDefault="0056053E" w:rsidP="0056053E">
      <w:pPr>
        <w:numPr>
          <w:ilvl w:val="0"/>
          <w:numId w:val="1"/>
        </w:numPr>
        <w:rPr>
          <w:rFonts w:cstheme="minorHAnsi"/>
          <w:sz w:val="24"/>
          <w:szCs w:val="24"/>
        </w:rPr>
      </w:pPr>
      <w:r w:rsidRPr="0056053E">
        <w:rPr>
          <w:rFonts w:cstheme="minorHAnsi"/>
          <w:sz w:val="24"/>
          <w:szCs w:val="24"/>
          <w:rtl/>
        </w:rPr>
        <w:t xml:space="preserve">אולם </w:t>
      </w:r>
    </w:p>
    <w:p w14:paraId="564D4E4F" w14:textId="611D4439" w:rsidR="00F00CA2" w:rsidRPr="00C35A06" w:rsidRDefault="0056053E" w:rsidP="00C35A06">
      <w:pPr>
        <w:numPr>
          <w:ilvl w:val="0"/>
          <w:numId w:val="1"/>
        </w:numPr>
        <w:rPr>
          <w:rFonts w:cstheme="minorHAnsi"/>
          <w:sz w:val="24"/>
          <w:szCs w:val="24"/>
        </w:rPr>
      </w:pPr>
      <w:r w:rsidRPr="0056053E">
        <w:rPr>
          <w:rFonts w:cstheme="minorHAnsi"/>
          <w:sz w:val="24"/>
          <w:szCs w:val="24"/>
          <w:rtl/>
        </w:rPr>
        <w:t>לסיכום</w:t>
      </w:r>
    </w:p>
    <w:sectPr w:rsidR="00F00CA2" w:rsidRPr="00C35A06" w:rsidSect="004F2BD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4538F"/>
    <w:multiLevelType w:val="multilevel"/>
    <w:tmpl w:val="C420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4118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502"/>
    <w:rsid w:val="002A4D9A"/>
    <w:rsid w:val="004F2BD1"/>
    <w:rsid w:val="0056053E"/>
    <w:rsid w:val="00C12502"/>
    <w:rsid w:val="00C35A06"/>
    <w:rsid w:val="00C70D17"/>
    <w:rsid w:val="00EB2465"/>
    <w:rsid w:val="00F00C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3C6EF"/>
  <w15:chartTrackingRefBased/>
  <w15:docId w15:val="{32AFB29F-A23C-46A3-A4EC-07AEEF62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C125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125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1250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1250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1250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1250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250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250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250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12502"/>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C12502"/>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C12502"/>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C12502"/>
    <w:rPr>
      <w:rFonts w:eastAsiaTheme="majorEastAsia" w:cstheme="majorBidi"/>
      <w:i/>
      <w:iCs/>
      <w:color w:val="2F5496" w:themeColor="accent1" w:themeShade="BF"/>
    </w:rPr>
  </w:style>
  <w:style w:type="character" w:customStyle="1" w:styleId="50">
    <w:name w:val="כותרת 5 תו"/>
    <w:basedOn w:val="a0"/>
    <w:link w:val="5"/>
    <w:uiPriority w:val="9"/>
    <w:semiHidden/>
    <w:rsid w:val="00C12502"/>
    <w:rPr>
      <w:rFonts w:eastAsiaTheme="majorEastAsia" w:cstheme="majorBidi"/>
      <w:color w:val="2F5496" w:themeColor="accent1" w:themeShade="BF"/>
    </w:rPr>
  </w:style>
  <w:style w:type="character" w:customStyle="1" w:styleId="60">
    <w:name w:val="כותרת 6 תו"/>
    <w:basedOn w:val="a0"/>
    <w:link w:val="6"/>
    <w:uiPriority w:val="9"/>
    <w:semiHidden/>
    <w:rsid w:val="00C12502"/>
    <w:rPr>
      <w:rFonts w:eastAsiaTheme="majorEastAsia" w:cstheme="majorBidi"/>
      <w:i/>
      <w:iCs/>
      <w:color w:val="595959" w:themeColor="text1" w:themeTint="A6"/>
    </w:rPr>
  </w:style>
  <w:style w:type="character" w:customStyle="1" w:styleId="70">
    <w:name w:val="כותרת 7 תו"/>
    <w:basedOn w:val="a0"/>
    <w:link w:val="7"/>
    <w:uiPriority w:val="9"/>
    <w:semiHidden/>
    <w:rsid w:val="00C12502"/>
    <w:rPr>
      <w:rFonts w:eastAsiaTheme="majorEastAsia" w:cstheme="majorBidi"/>
      <w:color w:val="595959" w:themeColor="text1" w:themeTint="A6"/>
    </w:rPr>
  </w:style>
  <w:style w:type="character" w:customStyle="1" w:styleId="80">
    <w:name w:val="כותרת 8 תו"/>
    <w:basedOn w:val="a0"/>
    <w:link w:val="8"/>
    <w:uiPriority w:val="9"/>
    <w:semiHidden/>
    <w:rsid w:val="00C12502"/>
    <w:rPr>
      <w:rFonts w:eastAsiaTheme="majorEastAsia" w:cstheme="majorBidi"/>
      <w:i/>
      <w:iCs/>
      <w:color w:val="272727" w:themeColor="text1" w:themeTint="D8"/>
    </w:rPr>
  </w:style>
  <w:style w:type="character" w:customStyle="1" w:styleId="90">
    <w:name w:val="כותרת 9 תו"/>
    <w:basedOn w:val="a0"/>
    <w:link w:val="9"/>
    <w:uiPriority w:val="9"/>
    <w:semiHidden/>
    <w:rsid w:val="00C12502"/>
    <w:rPr>
      <w:rFonts w:eastAsiaTheme="majorEastAsia" w:cstheme="majorBidi"/>
      <w:color w:val="272727" w:themeColor="text1" w:themeTint="D8"/>
    </w:rPr>
  </w:style>
  <w:style w:type="paragraph" w:styleId="a3">
    <w:name w:val="Title"/>
    <w:basedOn w:val="a"/>
    <w:next w:val="a"/>
    <w:link w:val="a4"/>
    <w:uiPriority w:val="10"/>
    <w:qFormat/>
    <w:rsid w:val="00C125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C125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250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C1250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12502"/>
    <w:pPr>
      <w:spacing w:before="160"/>
      <w:jc w:val="center"/>
    </w:pPr>
    <w:rPr>
      <w:i/>
      <w:iCs/>
      <w:color w:val="404040" w:themeColor="text1" w:themeTint="BF"/>
    </w:rPr>
  </w:style>
  <w:style w:type="character" w:customStyle="1" w:styleId="a8">
    <w:name w:val="ציטוט תו"/>
    <w:basedOn w:val="a0"/>
    <w:link w:val="a7"/>
    <w:uiPriority w:val="29"/>
    <w:rsid w:val="00C12502"/>
    <w:rPr>
      <w:i/>
      <w:iCs/>
      <w:color w:val="404040" w:themeColor="text1" w:themeTint="BF"/>
    </w:rPr>
  </w:style>
  <w:style w:type="paragraph" w:styleId="a9">
    <w:name w:val="List Paragraph"/>
    <w:basedOn w:val="a"/>
    <w:uiPriority w:val="34"/>
    <w:qFormat/>
    <w:rsid w:val="00C12502"/>
    <w:pPr>
      <w:ind w:left="720"/>
      <w:contextualSpacing/>
    </w:pPr>
  </w:style>
  <w:style w:type="character" w:styleId="aa">
    <w:name w:val="Intense Emphasis"/>
    <w:basedOn w:val="a0"/>
    <w:uiPriority w:val="21"/>
    <w:qFormat/>
    <w:rsid w:val="00C12502"/>
    <w:rPr>
      <w:i/>
      <w:iCs/>
      <w:color w:val="2F5496" w:themeColor="accent1" w:themeShade="BF"/>
    </w:rPr>
  </w:style>
  <w:style w:type="paragraph" w:styleId="ab">
    <w:name w:val="Intense Quote"/>
    <w:basedOn w:val="a"/>
    <w:next w:val="a"/>
    <w:link w:val="ac"/>
    <w:uiPriority w:val="30"/>
    <w:qFormat/>
    <w:rsid w:val="00C125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C12502"/>
    <w:rPr>
      <w:i/>
      <w:iCs/>
      <w:color w:val="2F5496" w:themeColor="accent1" w:themeShade="BF"/>
    </w:rPr>
  </w:style>
  <w:style w:type="character" w:styleId="ad">
    <w:name w:val="Intense Reference"/>
    <w:basedOn w:val="a0"/>
    <w:uiPriority w:val="32"/>
    <w:qFormat/>
    <w:rsid w:val="00C125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302</Words>
  <Characters>1510</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מתן אלמה</dc:creator>
  <cp:keywords/>
  <dc:description/>
  <cp:lastModifiedBy>מתן אלמה</cp:lastModifiedBy>
  <cp:revision>3</cp:revision>
  <dcterms:created xsi:type="dcterms:W3CDTF">2026-07-07T16:00:00Z</dcterms:created>
  <dcterms:modified xsi:type="dcterms:W3CDTF">2026-07-07T16:12:00Z</dcterms:modified>
</cp:coreProperties>
</file>